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4D40" w14:textId="4B544AAB" w:rsidR="00BC7220" w:rsidRPr="00114670" w:rsidRDefault="008441B6" w:rsidP="008E222B">
      <w:pPr>
        <w:spacing w:before="0" w:after="120" w:line="259" w:lineRule="auto"/>
        <w:ind w:firstLine="720"/>
        <w:rPr>
          <w:b/>
          <w:bCs/>
          <w:color w:val="C45911" w:themeColor="accent2" w:themeShade="BF"/>
        </w:rPr>
      </w:pPr>
      <w:bookmarkStart w:id="0" w:name="_Hlk102039066"/>
      <w:bookmarkEnd w:id="0"/>
      <w:r w:rsidRPr="00114670">
        <w:rPr>
          <w:b/>
          <w:bCs/>
          <w:color w:val="C45911" w:themeColor="accent2" w:themeShade="BF"/>
        </w:rPr>
        <w:t>Purpose</w:t>
      </w:r>
      <w:r w:rsidR="00BC7220" w:rsidRPr="00114670">
        <w:rPr>
          <w:b/>
          <w:bCs/>
          <w:color w:val="C45911" w:themeColor="accent2" w:themeShade="BF"/>
        </w:rPr>
        <w:t xml:space="preserve"> and Policy </w:t>
      </w:r>
    </w:p>
    <w:p w14:paraId="467023C0" w14:textId="3F885A05" w:rsidR="00BC7220" w:rsidRDefault="00BC7220" w:rsidP="00BC7220">
      <w:pPr>
        <w:spacing w:before="0" w:after="120" w:line="259" w:lineRule="auto"/>
      </w:pPr>
      <w:r>
        <w:t xml:space="preserve">To reduce morbidity and mortality from </w:t>
      </w:r>
      <w:r w:rsidR="00BE4498">
        <w:t xml:space="preserve">monkeypox </w:t>
      </w:r>
      <w:r w:rsidR="006C7F7B">
        <w:t xml:space="preserve"> disease </w:t>
      </w:r>
      <w:r>
        <w:t xml:space="preserve">by enabling licensed clinical staff </w:t>
      </w:r>
      <w:r w:rsidR="0005755D">
        <w:t xml:space="preserve">at the San Francisco Department of Public Health </w:t>
      </w:r>
      <w:r>
        <w:t xml:space="preserve">to </w:t>
      </w:r>
      <w:r w:rsidR="00172A73">
        <w:t xml:space="preserve">assess and </w:t>
      </w:r>
      <w:r>
        <w:t xml:space="preserve">vaccinate persons who meet eligibility criteria </w:t>
      </w:r>
      <w:r w:rsidR="00172A73">
        <w:t xml:space="preserve">for </w:t>
      </w:r>
      <w:r w:rsidR="00BE4498">
        <w:t xml:space="preserve">the </w:t>
      </w:r>
      <w:r w:rsidR="00EC33EE">
        <w:t>JYNNEOS</w:t>
      </w:r>
      <w:r w:rsidR="00BE4498">
        <w:t xml:space="preserve"> </w:t>
      </w:r>
      <w:r w:rsidR="006C7F7B">
        <w:t>vaccine</w:t>
      </w:r>
      <w:r w:rsidR="00172A73">
        <w:t xml:space="preserve">, without the need for examination or direct order by the supervising physician at the time of the encounter. </w:t>
      </w:r>
      <w:r>
        <w:t xml:space="preserve"> </w:t>
      </w:r>
    </w:p>
    <w:p w14:paraId="0E633363" w14:textId="76BC016B" w:rsidR="00BD4D4F" w:rsidRPr="00114670" w:rsidRDefault="00BD4D4F" w:rsidP="00BC7220">
      <w:pPr>
        <w:spacing w:before="0" w:after="120" w:line="259" w:lineRule="auto"/>
        <w:rPr>
          <w:b/>
          <w:bCs/>
          <w:color w:val="C45911" w:themeColor="accent2" w:themeShade="BF"/>
        </w:rPr>
      </w:pPr>
      <w:r w:rsidRPr="00114670">
        <w:rPr>
          <w:b/>
          <w:bCs/>
          <w:color w:val="C45911" w:themeColor="accent2" w:themeShade="BF"/>
        </w:rPr>
        <w:t>Vaccine and Status</w:t>
      </w:r>
    </w:p>
    <w:p w14:paraId="3E792A8E" w14:textId="266FBC27" w:rsidR="00BD4D4F" w:rsidRPr="006A219D" w:rsidRDefault="00EC33EE" w:rsidP="00BC7220">
      <w:pPr>
        <w:spacing w:before="0" w:after="120" w:line="259" w:lineRule="auto"/>
        <w:rPr>
          <w:b/>
          <w:bCs/>
        </w:rPr>
      </w:pPr>
      <w:r>
        <w:rPr>
          <w:b/>
          <w:bCs/>
        </w:rPr>
        <w:t>JYNNEOS</w:t>
      </w:r>
      <w:r w:rsidR="00BE4498">
        <w:rPr>
          <w:b/>
          <w:bCs/>
        </w:rPr>
        <w:t xml:space="preserve"> </w:t>
      </w:r>
    </w:p>
    <w:p w14:paraId="0C7DFD3A" w14:textId="3861FE3C" w:rsidR="00114670" w:rsidRPr="006A219D" w:rsidRDefault="00114670" w:rsidP="00114670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</w:pPr>
      <w:r w:rsidRPr="006A219D">
        <w:t>A</w:t>
      </w:r>
      <w:r w:rsidR="00BD4D4F" w:rsidRPr="006A219D">
        <w:t>pproved by FDA in 20</w:t>
      </w:r>
      <w:r w:rsidR="00DA367B">
        <w:t>19</w:t>
      </w:r>
      <w:r w:rsidR="00BD4D4F" w:rsidRPr="006A219D">
        <w:t xml:space="preserve"> for </w:t>
      </w:r>
      <w:r w:rsidR="00BD4D4F" w:rsidRPr="00DD1D33">
        <w:rPr>
          <w:b/>
          <w:bCs/>
        </w:rPr>
        <w:t xml:space="preserve">ages </w:t>
      </w:r>
      <w:r w:rsidR="004308C0" w:rsidRPr="00DD1D33">
        <w:rPr>
          <w:b/>
          <w:bCs/>
        </w:rPr>
        <w:t>18</w:t>
      </w:r>
      <w:r w:rsidR="008E222B">
        <w:rPr>
          <w:b/>
          <w:bCs/>
        </w:rPr>
        <w:t>+</w:t>
      </w:r>
      <w:r w:rsidR="00BD4D4F" w:rsidRPr="00DD1D33">
        <w:rPr>
          <w:b/>
          <w:bCs/>
        </w:rPr>
        <w:t xml:space="preserve"> year</w:t>
      </w:r>
      <w:r w:rsidR="004308C0" w:rsidRPr="00DD1D33">
        <w:rPr>
          <w:b/>
          <w:bCs/>
        </w:rPr>
        <w:t>s</w:t>
      </w:r>
      <w:r w:rsidR="00BD4D4F" w:rsidRPr="006A219D">
        <w:t xml:space="preserve">  </w:t>
      </w:r>
    </w:p>
    <w:p w14:paraId="1DBF65C2" w14:textId="391DD556" w:rsidR="00BE4498" w:rsidRDefault="00BE4498" w:rsidP="00EE12CF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</w:pPr>
      <w:r>
        <w:t xml:space="preserve">Smallpox and Monkeypox Vaccine, Live, Attenuated </w:t>
      </w:r>
      <w:r w:rsidR="00E14920">
        <w:t xml:space="preserve">Replication-Deficient </w:t>
      </w:r>
      <w:r>
        <w:t xml:space="preserve">Vaccinia Virus </w:t>
      </w:r>
    </w:p>
    <w:p w14:paraId="4136B08C" w14:textId="77777777" w:rsidR="00913B1B" w:rsidRDefault="00E14920" w:rsidP="00EE12CF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</w:pPr>
      <w:r>
        <w:t xml:space="preserve">2-dose primary series, </w:t>
      </w:r>
      <w:r w:rsidR="008E222B" w:rsidRPr="008E222B">
        <w:rPr>
          <w:highlight w:val="yellow"/>
        </w:rPr>
        <w:t>4 weeks</w:t>
      </w:r>
      <w:r w:rsidR="008E222B">
        <w:t xml:space="preserve"> </w:t>
      </w:r>
      <w:r>
        <w:t>apart</w:t>
      </w:r>
      <w:r w:rsidR="00913B1B">
        <w:t xml:space="preserve">.  </w:t>
      </w:r>
    </w:p>
    <w:p w14:paraId="054F4930" w14:textId="6BECCC62" w:rsidR="00BE4498" w:rsidRDefault="00BE4498" w:rsidP="00EE12CF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</w:pPr>
      <w:r>
        <w:t>Manufactured by Bavarian Nordic A/S, Denmark</w:t>
      </w:r>
    </w:p>
    <w:p w14:paraId="731BB5A2" w14:textId="77777777" w:rsidR="00B2217C" w:rsidRDefault="00B2217C" w:rsidP="00B2217C">
      <w:pPr>
        <w:spacing w:before="0" w:after="120" w:line="259" w:lineRule="auto"/>
        <w:rPr>
          <w:b/>
          <w:bCs/>
          <w:color w:val="C45911" w:themeColor="accent2" w:themeShade="BF"/>
        </w:rPr>
      </w:pPr>
      <w:r w:rsidRPr="00B2217C">
        <w:rPr>
          <w:b/>
          <w:bCs/>
          <w:color w:val="C45911" w:themeColor="accent2" w:themeShade="BF"/>
        </w:rPr>
        <w:t>Vaccine Components</w:t>
      </w:r>
    </w:p>
    <w:p w14:paraId="6AD119FE" w14:textId="77777777" w:rsidR="00B2217C" w:rsidRDefault="00B2217C" w:rsidP="00B2217C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</w:pPr>
      <w:r>
        <w:t>No material of direct animal origin</w:t>
      </w:r>
    </w:p>
    <w:p w14:paraId="50B46FE9" w14:textId="35362233" w:rsidR="00B2217C" w:rsidRDefault="00B2217C" w:rsidP="00B2217C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</w:pPr>
      <w:r>
        <w:t>No preservatives or latex</w:t>
      </w:r>
    </w:p>
    <w:p w14:paraId="256F0A86" w14:textId="2C023ECC" w:rsidR="00B2217C" w:rsidRDefault="006A3143" w:rsidP="00B2217C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</w:pPr>
      <w:r>
        <w:t xml:space="preserve">Vaccine </w:t>
      </w:r>
      <w:r w:rsidR="00B2217C">
        <w:t xml:space="preserve">contains live virus plus residual amounts of host-cell DNA, </w:t>
      </w:r>
      <w:r w:rsidR="008E222B" w:rsidRPr="008E222B">
        <w:rPr>
          <w:highlight w:val="yellow"/>
        </w:rPr>
        <w:t xml:space="preserve">chick and/or egg </w:t>
      </w:r>
      <w:r w:rsidR="00B2217C" w:rsidRPr="008E222B">
        <w:rPr>
          <w:highlight w:val="yellow"/>
        </w:rPr>
        <w:t>protein</w:t>
      </w:r>
      <w:r w:rsidR="00B2217C">
        <w:t>, benzonase, gentamicin, and ciprofloxacin.</w:t>
      </w:r>
    </w:p>
    <w:p w14:paraId="51F0E562" w14:textId="28FB09B1" w:rsidR="00BC7220" w:rsidRPr="00114670" w:rsidRDefault="00C32799" w:rsidP="00BC7220">
      <w:pPr>
        <w:spacing w:before="0" w:after="120" w:line="259" w:lineRule="auto"/>
        <w:rPr>
          <w:b/>
          <w:bCs/>
          <w:color w:val="C45911" w:themeColor="accent2" w:themeShade="BF"/>
        </w:rPr>
      </w:pPr>
      <w:r w:rsidRPr="00114670">
        <w:rPr>
          <w:b/>
          <w:bCs/>
          <w:color w:val="C45911" w:themeColor="accent2" w:themeShade="BF"/>
        </w:rPr>
        <w:t>Indications</w:t>
      </w:r>
      <w:r w:rsidR="00BC721C">
        <w:rPr>
          <w:b/>
          <w:bCs/>
          <w:color w:val="C45911" w:themeColor="accent2" w:themeShade="BF"/>
        </w:rPr>
        <w:t xml:space="preserve"> for Vaccination</w:t>
      </w:r>
    </w:p>
    <w:p w14:paraId="67E10863" w14:textId="1D570413" w:rsidR="00DD795E" w:rsidRDefault="00BE4498" w:rsidP="00BC7220">
      <w:pPr>
        <w:spacing w:before="0" w:after="120" w:line="259" w:lineRule="auto"/>
      </w:pPr>
      <w:r>
        <w:rPr>
          <w:b/>
          <w:bCs/>
        </w:rPr>
        <w:t xml:space="preserve">FDA </w:t>
      </w:r>
      <w:r w:rsidR="0096739F">
        <w:rPr>
          <w:b/>
          <w:bCs/>
        </w:rPr>
        <w:t>Licens</w:t>
      </w:r>
      <w:r w:rsidR="00DA367B">
        <w:rPr>
          <w:b/>
          <w:bCs/>
        </w:rPr>
        <w:t>ure</w:t>
      </w:r>
      <w:r w:rsidR="0096739F">
        <w:rPr>
          <w:b/>
          <w:bCs/>
        </w:rPr>
        <w:t xml:space="preserve">: </w:t>
      </w:r>
      <w:r w:rsidR="0096739F">
        <w:t>For p</w:t>
      </w:r>
      <w:r>
        <w:t xml:space="preserve">revention of smallpox and monkeypox disease in adults 18 years of age and older determined to be at high risk for smallpox or monkeypox infection. </w:t>
      </w:r>
      <w:r w:rsidR="00487F70">
        <w:t xml:space="preserve"> </w:t>
      </w:r>
    </w:p>
    <w:p w14:paraId="2E440BC5" w14:textId="0E933288" w:rsidR="008E222B" w:rsidRDefault="008E222B" w:rsidP="00BC7220">
      <w:pPr>
        <w:spacing w:before="0" w:after="120" w:line="259" w:lineRule="auto"/>
      </w:pPr>
      <w:r w:rsidRPr="008E222B">
        <w:rPr>
          <w:highlight w:val="yellow"/>
        </w:rPr>
        <w:t>Vaccination for persons age less than 18 years</w:t>
      </w:r>
      <w:r w:rsidR="00913B1B">
        <w:rPr>
          <w:highlight w:val="yellow"/>
        </w:rPr>
        <w:t xml:space="preserve"> may occur only </w:t>
      </w:r>
      <w:r w:rsidRPr="008E222B">
        <w:rPr>
          <w:highlight w:val="yellow"/>
        </w:rPr>
        <w:t>under an FDA investigational protocol (IND).</w:t>
      </w:r>
      <w:r>
        <w:t xml:space="preserve"> </w:t>
      </w:r>
    </w:p>
    <w:p w14:paraId="38E07914" w14:textId="7C8FF4C8" w:rsidR="00DA367B" w:rsidRDefault="006F3E3D" w:rsidP="00BC7220">
      <w:pPr>
        <w:spacing w:before="0" w:after="120" w:line="259" w:lineRule="auto"/>
      </w:pPr>
      <w:r w:rsidRPr="006F3E3D">
        <w:rPr>
          <w:b/>
          <w:bCs/>
        </w:rPr>
        <w:t>PEP Indication:</w:t>
      </w:r>
      <w:r>
        <w:t xml:space="preserve">  CDC recommends that </w:t>
      </w:r>
      <w:r w:rsidR="00EC33EE">
        <w:t>JYNNEOS</w:t>
      </w:r>
      <w:r>
        <w:t xml:space="preserve"> can be given for Post-Exposure Prophylaxis (PEP) </w:t>
      </w:r>
      <w:r w:rsidR="001A351C">
        <w:t xml:space="preserve">of monkeypox </w:t>
      </w:r>
      <w:r>
        <w:t xml:space="preserve">within 4 days from the date of exposure to prevent onset of the disease. </w:t>
      </w:r>
      <w:r w:rsidR="001A351C">
        <w:t xml:space="preserve">If given between 4-14 days after the date of exposure, vaccination may reduce the symptoms of disease, but it may not prevent the disease. </w:t>
      </w:r>
      <w:r>
        <w:t xml:space="preserve">See </w:t>
      </w:r>
      <w:hyperlink r:id="rId8" w:history="1">
        <w:r>
          <w:rPr>
            <w:rStyle w:val="Hyperlink"/>
          </w:rPr>
          <w:t>Monkeypox and Smallpox Vaccine Guidance | CDC</w:t>
        </w:r>
      </w:hyperlink>
      <w:r>
        <w:t xml:space="preserve"> </w:t>
      </w:r>
    </w:p>
    <w:p w14:paraId="373BB242" w14:textId="7A7C98F9" w:rsidR="0096739F" w:rsidRDefault="006F3E3D" w:rsidP="00BC7220">
      <w:pPr>
        <w:spacing w:before="0" w:after="120" w:line="259" w:lineRule="auto"/>
      </w:pPr>
      <w:r>
        <w:rPr>
          <w:b/>
          <w:bCs/>
        </w:rPr>
        <w:t xml:space="preserve">PrEP Indication:  </w:t>
      </w:r>
      <w:r>
        <w:t>CDC r</w:t>
      </w:r>
      <w:r w:rsidR="0096739F">
        <w:t>ecommend</w:t>
      </w:r>
      <w:r>
        <w:t>s</w:t>
      </w:r>
      <w:r w:rsidR="0096739F">
        <w:t xml:space="preserve"> </w:t>
      </w:r>
      <w:r w:rsidR="00EC33EE">
        <w:t>JYNNEOS</w:t>
      </w:r>
      <w:r>
        <w:t xml:space="preserve"> as P</w:t>
      </w:r>
      <w:r w:rsidR="0096739F">
        <w:t>re-</w:t>
      </w:r>
      <w:r>
        <w:t>E</w:t>
      </w:r>
      <w:r w:rsidR="0096739F">
        <w:t xml:space="preserve">xposure </w:t>
      </w:r>
      <w:r>
        <w:t>P</w:t>
      </w:r>
      <w:r w:rsidR="0096739F">
        <w:t xml:space="preserve">rophylaxis </w:t>
      </w:r>
      <w:r w:rsidR="00DA367B">
        <w:t xml:space="preserve">(PrEP) </w:t>
      </w:r>
      <w:r w:rsidR="0096739F">
        <w:t xml:space="preserve">for persons at occupational risk for exposure to orthopoxviruses including monkeypox.  </w:t>
      </w:r>
      <w:r w:rsidR="001A351C">
        <w:t xml:space="preserve">See </w:t>
      </w:r>
      <w:hyperlink r:id="rId9" w:history="1">
        <w:r w:rsidR="001A351C">
          <w:rPr>
            <w:rStyle w:val="Hyperlink"/>
          </w:rPr>
          <w:t>MMWR 2022</w:t>
        </w:r>
      </w:hyperlink>
    </w:p>
    <w:p w14:paraId="13F3F698" w14:textId="77777777" w:rsidR="0096739F" w:rsidRDefault="0096739F" w:rsidP="0096739F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</w:pPr>
      <w:r>
        <w:t>Research laboratory personnel who directly handle orthopoxvirus-infected specimens or animals, or replication-competent orthopoxvirus strains</w:t>
      </w:r>
    </w:p>
    <w:p w14:paraId="6BF07DA4" w14:textId="1760AA5A" w:rsidR="0096739F" w:rsidRDefault="00DA367B" w:rsidP="0096739F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</w:pPr>
      <w:r>
        <w:t>Clinical laboratory personnel performing diagnostic testing for orthopoxviruses</w:t>
      </w:r>
    </w:p>
    <w:p w14:paraId="7273F65D" w14:textId="2EA3A26C" w:rsidR="00DA367B" w:rsidRDefault="00DA367B" w:rsidP="0096739F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</w:pPr>
      <w:r>
        <w:t>Healthcare personnel who administer smallpox vaccine or care for patients infected with orthopoxviruses</w:t>
      </w:r>
    </w:p>
    <w:p w14:paraId="569AE791" w14:textId="182CEAB3" w:rsidR="00913B1B" w:rsidRPr="006A219D" w:rsidRDefault="00913B1B" w:rsidP="00913B1B">
      <w:pPr>
        <w:spacing w:before="0" w:after="120" w:line="259" w:lineRule="auto"/>
      </w:pPr>
      <w:r w:rsidRPr="00913B1B">
        <w:rPr>
          <w:highlight w:val="yellow"/>
        </w:rPr>
        <w:t xml:space="preserve">Additional persons may also be eligible for PrEP doses </w:t>
      </w:r>
      <w:r>
        <w:rPr>
          <w:highlight w:val="yellow"/>
        </w:rPr>
        <w:t xml:space="preserve">in accordance with </w:t>
      </w:r>
      <w:r w:rsidRPr="00913B1B">
        <w:rPr>
          <w:highlight w:val="yellow"/>
        </w:rPr>
        <w:t>state</w:t>
      </w:r>
      <w:r>
        <w:rPr>
          <w:highlight w:val="yellow"/>
        </w:rPr>
        <w:t>-</w:t>
      </w:r>
      <w:r w:rsidRPr="00913B1B">
        <w:rPr>
          <w:highlight w:val="yellow"/>
        </w:rPr>
        <w:t xml:space="preserve"> </w:t>
      </w:r>
      <w:r>
        <w:rPr>
          <w:highlight w:val="yellow"/>
        </w:rPr>
        <w:t>and/</w:t>
      </w:r>
      <w:r w:rsidRPr="00913B1B">
        <w:rPr>
          <w:highlight w:val="yellow"/>
        </w:rPr>
        <w:t>or county</w:t>
      </w:r>
      <w:r>
        <w:rPr>
          <w:highlight w:val="yellow"/>
        </w:rPr>
        <w:t xml:space="preserve">-level </w:t>
      </w:r>
      <w:r w:rsidRPr="00913B1B">
        <w:rPr>
          <w:highlight w:val="yellow"/>
        </w:rPr>
        <w:t xml:space="preserve"> guidance.</w:t>
      </w:r>
    </w:p>
    <w:p w14:paraId="5CE8A455" w14:textId="65BBA192" w:rsidR="00E14920" w:rsidRPr="00E14920" w:rsidRDefault="00E14920" w:rsidP="00E14920">
      <w:pPr>
        <w:spacing w:before="0" w:after="120" w:line="259" w:lineRule="auto"/>
        <w:rPr>
          <w:b/>
          <w:bCs/>
          <w:color w:val="C45911" w:themeColor="accent2" w:themeShade="BF"/>
        </w:rPr>
      </w:pPr>
      <w:r>
        <w:rPr>
          <w:b/>
          <w:bCs/>
          <w:color w:val="C45911" w:themeColor="accent2" w:themeShade="BF"/>
        </w:rPr>
        <w:t xml:space="preserve">Booster Doses </w:t>
      </w:r>
      <w:r w:rsidRPr="00E14920">
        <w:rPr>
          <w:b/>
          <w:bCs/>
          <w:color w:val="C45911" w:themeColor="accent2" w:themeShade="BF"/>
        </w:rPr>
        <w:t xml:space="preserve"> </w:t>
      </w:r>
    </w:p>
    <w:p w14:paraId="24587558" w14:textId="696DCD19" w:rsidR="0098578A" w:rsidRDefault="00E14920" w:rsidP="00E14920">
      <w:pPr>
        <w:spacing w:before="0" w:after="120" w:line="259" w:lineRule="auto"/>
      </w:pPr>
      <w:r>
        <w:t xml:space="preserve">Persons who </w:t>
      </w:r>
      <w:r w:rsidR="0098578A">
        <w:t xml:space="preserve">are at </w:t>
      </w:r>
      <w:r w:rsidR="0098578A" w:rsidRPr="0098578A">
        <w:rPr>
          <w:b/>
          <w:bCs/>
        </w:rPr>
        <w:t>ongoing risk for occupational exposure</w:t>
      </w:r>
      <w:r w:rsidR="0098578A">
        <w:t xml:space="preserve"> and who </w:t>
      </w:r>
      <w:r>
        <w:t xml:space="preserve">received </w:t>
      </w:r>
      <w:r w:rsidR="0098578A">
        <w:t xml:space="preserve">a primary series with </w:t>
      </w:r>
      <w:r>
        <w:t xml:space="preserve">JYNNEOS </w:t>
      </w:r>
      <w:r w:rsidR="0098578A">
        <w:t>or with smallpox vaccine (DRYVAX or ACAM2000) should receive booster dose(s) of JYNNEOS.</w:t>
      </w:r>
    </w:p>
    <w:p w14:paraId="4CF630D6" w14:textId="0C6BCBA1" w:rsidR="0098578A" w:rsidRDefault="0098578A" w:rsidP="0098578A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</w:pPr>
      <w:r>
        <w:t>At risk of ongoing exposure to smallpox or monkeypox virus:  booster every 2 years</w:t>
      </w:r>
    </w:p>
    <w:p w14:paraId="4B21DFD7" w14:textId="716AA123" w:rsidR="0098578A" w:rsidRDefault="0098578A" w:rsidP="0098578A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</w:pPr>
      <w:r>
        <w:t xml:space="preserve">At risk of ongoing exposure to vaccinia or cowpox virus:  booster at least every 10 years. </w:t>
      </w:r>
    </w:p>
    <w:p w14:paraId="130515B8" w14:textId="46807DF7" w:rsidR="00727759" w:rsidRDefault="00727759" w:rsidP="00727759">
      <w:pPr>
        <w:spacing w:before="0" w:after="120" w:line="259" w:lineRule="auto"/>
        <w:rPr>
          <w:b/>
          <w:bCs/>
          <w:color w:val="C45911" w:themeColor="accent2" w:themeShade="BF"/>
        </w:rPr>
      </w:pPr>
      <w:r>
        <w:rPr>
          <w:b/>
          <w:bCs/>
          <w:color w:val="C45911" w:themeColor="accent2" w:themeShade="BF"/>
        </w:rPr>
        <w:t xml:space="preserve">Vaccine Storage &amp; Preparation </w:t>
      </w:r>
    </w:p>
    <w:p w14:paraId="451EFD6C" w14:textId="65FB9513" w:rsidR="00727759" w:rsidRDefault="00EC33EE" w:rsidP="00913B1B">
      <w:pPr>
        <w:spacing w:before="0" w:after="120" w:line="259" w:lineRule="auto"/>
        <w:rPr>
          <w:rFonts w:cstheme="minorHAnsi"/>
        </w:rPr>
      </w:pPr>
      <w:r w:rsidRPr="00913B1B">
        <w:rPr>
          <w:rFonts w:cstheme="minorHAnsi"/>
        </w:rPr>
        <w:t>JYNNEOS</w:t>
      </w:r>
      <w:r w:rsidR="00727759" w:rsidRPr="00913B1B">
        <w:rPr>
          <w:rFonts w:cstheme="minorHAnsi"/>
        </w:rPr>
        <w:t xml:space="preserve"> is a suspension for injection, with each 0.5-mL dose supplied in a single-dose vial.</w:t>
      </w:r>
    </w:p>
    <w:p w14:paraId="7C67E4BC" w14:textId="77777777" w:rsidR="00913B1B" w:rsidRPr="00913B1B" w:rsidRDefault="00913B1B" w:rsidP="00913B1B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</w:pPr>
      <w:r w:rsidRPr="00913B1B">
        <w:rPr>
          <w:rFonts w:eastAsia="Times New Roman" w:cstheme="minorHAnsi"/>
          <w:color w:val="000000"/>
        </w:rPr>
        <w:t>Store frozen at -25°C to -15°C (-13°F to +5°F) until expiration date on vial label.</w:t>
      </w:r>
    </w:p>
    <w:p w14:paraId="74BC9BBE" w14:textId="5089E563" w:rsidR="00913B1B" w:rsidRPr="009702E3" w:rsidRDefault="00913B1B" w:rsidP="00913B1B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  <w:rPr>
          <w:highlight w:val="yellow"/>
        </w:rPr>
      </w:pPr>
      <w:r w:rsidRPr="009702E3">
        <w:rPr>
          <w:rFonts w:eastAsia="Times New Roman" w:cstheme="minorHAnsi"/>
          <w:color w:val="000000"/>
          <w:highlight w:val="yellow"/>
        </w:rPr>
        <w:t xml:space="preserve">Store refrigerated at 2°C-8°C for up to 8 weeks (this differs from package insert – see </w:t>
      </w:r>
      <w:hyperlink r:id="rId10" w:history="1">
        <w:r w:rsidRPr="009702E3">
          <w:rPr>
            <w:rStyle w:val="Hyperlink"/>
            <w:rFonts w:eastAsia="Times New Roman" w:cstheme="minorHAnsi"/>
            <w:highlight w:val="yellow"/>
          </w:rPr>
          <w:t>Provider Letter</w:t>
        </w:r>
      </w:hyperlink>
      <w:r w:rsidRPr="009702E3">
        <w:rPr>
          <w:rFonts w:eastAsia="Times New Roman" w:cstheme="minorHAnsi"/>
          <w:color w:val="000000"/>
          <w:highlight w:val="yellow"/>
        </w:rPr>
        <w:t>).</w:t>
      </w:r>
    </w:p>
    <w:p w14:paraId="366EB832" w14:textId="77777777" w:rsidR="00913B1B" w:rsidRPr="00913B1B" w:rsidRDefault="00913B1B" w:rsidP="00913B1B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</w:pPr>
      <w:r w:rsidRPr="00913B1B">
        <w:rPr>
          <w:rFonts w:eastAsia="Times New Roman" w:cstheme="minorHAnsi"/>
          <w:color w:val="000000"/>
        </w:rPr>
        <w:t>Store in original package to protect from light.</w:t>
      </w:r>
    </w:p>
    <w:p w14:paraId="1F47FFD4" w14:textId="77777777" w:rsidR="00913B1B" w:rsidRPr="00913B1B" w:rsidRDefault="00913B1B" w:rsidP="00913B1B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</w:pPr>
      <w:r w:rsidRPr="00913B1B">
        <w:rPr>
          <w:rFonts w:eastAsia="Times New Roman" w:cstheme="minorHAnsi"/>
          <w:color w:val="000000"/>
        </w:rPr>
        <w:t>Allow vaccine to thaw and reach room temperature before use.</w:t>
      </w:r>
    </w:p>
    <w:p w14:paraId="5BCC8ACC" w14:textId="0453D611" w:rsidR="00913B1B" w:rsidRPr="00913B1B" w:rsidRDefault="00913B1B" w:rsidP="00913B1B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</w:pPr>
      <w:r w:rsidRPr="00913B1B">
        <w:rPr>
          <w:rFonts w:eastAsia="Times New Roman" w:cstheme="minorHAnsi"/>
          <w:color w:val="000000"/>
        </w:rPr>
        <w:t>Once thawed, may be kept in refrigerator at +2°C to +8°C (+36°F to +46°F) for 12 hours. Don’t refreeze.</w:t>
      </w:r>
    </w:p>
    <w:p w14:paraId="7961A0F6" w14:textId="4FF18D38" w:rsidR="00B60A26" w:rsidRDefault="00B60A26" w:rsidP="00B60A26">
      <w:pPr>
        <w:spacing w:before="0" w:after="120" w:line="259" w:lineRule="auto"/>
        <w:rPr>
          <w:b/>
          <w:bCs/>
          <w:color w:val="C45911" w:themeColor="accent2" w:themeShade="BF"/>
        </w:rPr>
      </w:pPr>
      <w:r>
        <w:rPr>
          <w:b/>
          <w:bCs/>
          <w:color w:val="C45911" w:themeColor="accent2" w:themeShade="BF"/>
        </w:rPr>
        <w:t xml:space="preserve">Vaccine </w:t>
      </w:r>
      <w:r w:rsidR="004E1E21">
        <w:rPr>
          <w:b/>
          <w:bCs/>
          <w:color w:val="C45911" w:themeColor="accent2" w:themeShade="BF"/>
        </w:rPr>
        <w:t>Administration</w:t>
      </w:r>
      <w:r>
        <w:rPr>
          <w:b/>
          <w:bCs/>
          <w:color w:val="C45911" w:themeColor="accent2" w:themeShade="BF"/>
        </w:rPr>
        <w:t xml:space="preserve"> </w:t>
      </w:r>
    </w:p>
    <w:p w14:paraId="154F7841" w14:textId="11E2108C" w:rsidR="00B2217C" w:rsidRDefault="00E14920" w:rsidP="00CF22E4">
      <w:pPr>
        <w:spacing w:before="0" w:after="120" w:line="259" w:lineRule="auto"/>
      </w:pPr>
      <w:r>
        <w:t xml:space="preserve">Primary series: </w:t>
      </w:r>
      <w:r w:rsidR="00B2217C">
        <w:t xml:space="preserve">0.5 mL SQ at 0, </w:t>
      </w:r>
      <w:r w:rsidR="009702E3" w:rsidRPr="009702E3">
        <w:rPr>
          <w:highlight w:val="yellow"/>
        </w:rPr>
        <w:t>4 weeks</w:t>
      </w:r>
      <w:r w:rsidR="009702E3">
        <w:t xml:space="preserve"> </w:t>
      </w:r>
    </w:p>
    <w:p w14:paraId="4AF280A9" w14:textId="77777777" w:rsidR="00B2217C" w:rsidRDefault="00727759" w:rsidP="00CF22E4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</w:pPr>
      <w:r>
        <w:t xml:space="preserve">When thawed, </w:t>
      </w:r>
      <w:r w:rsidR="00EC33EE">
        <w:t>JYNNEOS</w:t>
      </w:r>
      <w:r>
        <w:t xml:space="preserve"> is a milky, light yellow to pale white colored suspension. </w:t>
      </w:r>
      <w:r w:rsidR="00EC33EE">
        <w:t xml:space="preserve"> </w:t>
      </w:r>
    </w:p>
    <w:p w14:paraId="44B3651F" w14:textId="77777777" w:rsidR="00B2217C" w:rsidRDefault="00EC33EE" w:rsidP="00CF22E4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</w:pPr>
      <w:r>
        <w:t xml:space="preserve">Inspect </w:t>
      </w:r>
      <w:r w:rsidR="00727759">
        <w:t>visually for particulate matter and discoloration prior to administration</w:t>
      </w:r>
      <w:r>
        <w:t xml:space="preserve"> and do not administer if present</w:t>
      </w:r>
    </w:p>
    <w:p w14:paraId="2A4A198E" w14:textId="77777777" w:rsidR="00B2217C" w:rsidRDefault="00727759" w:rsidP="00CF22E4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</w:pPr>
      <w:r>
        <w:t>Swirl the vial gently before use for at least 30 seconds.</w:t>
      </w:r>
    </w:p>
    <w:p w14:paraId="2F0434CE" w14:textId="14E7D0A6" w:rsidR="00B2217C" w:rsidRDefault="00727759" w:rsidP="00CF22E4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</w:pPr>
      <w:r>
        <w:t>Withdraw a dose of 0.5 mL into a sterile syringe</w:t>
      </w:r>
      <w:r w:rsidR="00EC33EE">
        <w:t xml:space="preserve"> and a</w:t>
      </w:r>
      <w:r>
        <w:t xml:space="preserve">dminister by subcutaneous </w:t>
      </w:r>
      <w:r w:rsidR="00EC33EE">
        <w:t xml:space="preserve">(SQ) </w:t>
      </w:r>
      <w:r>
        <w:t>injection, preferably into the upper arm (</w:t>
      </w:r>
      <w:r w:rsidR="009702E3" w:rsidRPr="009702E3">
        <w:rPr>
          <w:highlight w:val="yellow"/>
        </w:rPr>
        <w:t>triceps or</w:t>
      </w:r>
      <w:r w:rsidR="009702E3">
        <w:t xml:space="preserve"> </w:t>
      </w:r>
      <w:r>
        <w:t>deltoid</w:t>
      </w:r>
      <w:r w:rsidR="009702E3">
        <w:t xml:space="preserve"> </w:t>
      </w:r>
      <w:r w:rsidR="00EC33EE">
        <w:t xml:space="preserve"> area</w:t>
      </w:r>
      <w:r>
        <w:t>).</w:t>
      </w:r>
    </w:p>
    <w:p w14:paraId="0F281BA8" w14:textId="2A03DB12" w:rsidR="00727759" w:rsidRDefault="00EC33EE" w:rsidP="00CF22E4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</w:pPr>
      <w:r>
        <w:t>Administer a second dose</w:t>
      </w:r>
      <w:r w:rsidR="009702E3">
        <w:t xml:space="preserve"> </w:t>
      </w:r>
      <w:r w:rsidR="009702E3" w:rsidRPr="009702E3">
        <w:rPr>
          <w:highlight w:val="yellow"/>
        </w:rPr>
        <w:t>4 weeks</w:t>
      </w:r>
      <w:r w:rsidR="009702E3">
        <w:t xml:space="preserve"> later.</w:t>
      </w:r>
    </w:p>
    <w:p w14:paraId="4EE42F56" w14:textId="540D8DCB" w:rsidR="009702E3" w:rsidRPr="00913B1B" w:rsidRDefault="009702E3" w:rsidP="009702E3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  <w:rPr>
          <w:highlight w:val="yellow"/>
        </w:rPr>
      </w:pPr>
      <w:r>
        <w:rPr>
          <w:highlight w:val="yellow"/>
        </w:rPr>
        <w:t xml:space="preserve">Second </w:t>
      </w:r>
      <w:r w:rsidRPr="00913B1B">
        <w:rPr>
          <w:highlight w:val="yellow"/>
        </w:rPr>
        <w:t>doses may be delayed while Jynneos is in short supply,</w:t>
      </w:r>
      <w:r>
        <w:rPr>
          <w:highlight w:val="yellow"/>
        </w:rPr>
        <w:t xml:space="preserve"> in accordance with </w:t>
      </w:r>
      <w:r w:rsidRPr="00913B1B">
        <w:rPr>
          <w:highlight w:val="yellow"/>
        </w:rPr>
        <w:t xml:space="preserve">state- and/or county-level </w:t>
      </w:r>
      <w:r w:rsidRPr="00913B1B">
        <w:rPr>
          <w:highlight w:val="yellow"/>
        </w:rPr>
        <w:lastRenderedPageBreak/>
        <w:t>guidance</w:t>
      </w:r>
      <w:r>
        <w:rPr>
          <w:highlight w:val="yellow"/>
        </w:rPr>
        <w:t>.  In these instances, the series does not need to be restarted.</w:t>
      </w:r>
    </w:p>
    <w:p w14:paraId="1D9EC5E6" w14:textId="2E992F4E" w:rsidR="00520768" w:rsidRDefault="002C0D16" w:rsidP="00520768">
      <w:pPr>
        <w:spacing w:before="0" w:after="120" w:line="259" w:lineRule="auto"/>
        <w:rPr>
          <w:b/>
          <w:bCs/>
          <w:color w:val="C45911" w:themeColor="accent2" w:themeShade="BF"/>
        </w:rPr>
      </w:pPr>
      <w:r>
        <w:rPr>
          <w:b/>
          <w:bCs/>
          <w:color w:val="C45911" w:themeColor="accent2" w:themeShade="BF"/>
        </w:rPr>
        <w:t>Contraindications</w:t>
      </w:r>
    </w:p>
    <w:p w14:paraId="384186C1" w14:textId="7400B393" w:rsidR="002C0D16" w:rsidRDefault="00E32166" w:rsidP="00CE10DA">
      <w:pPr>
        <w:spacing w:before="0" w:after="120" w:line="259" w:lineRule="auto"/>
      </w:pPr>
      <w:r>
        <w:t>Per CDC, JYNNEOS is contraindicated in p</w:t>
      </w:r>
      <w:r w:rsidR="0098578A">
        <w:t>ersons with a serious allergy to a vaccine component</w:t>
      </w:r>
      <w:r w:rsidR="000D3F98">
        <w:t xml:space="preserve">.  </w:t>
      </w:r>
      <w:r w:rsidR="000D3F98" w:rsidRPr="000D3F98">
        <w:rPr>
          <w:highlight w:val="yellow"/>
        </w:rPr>
        <w:t>This includes persons who have had a severe allergic reaction (e.g., (anaphylaxis) to egg, gentamicin, or ciprofloxacin, or f</w:t>
      </w:r>
      <w:r w:rsidRPr="000D3F98">
        <w:rPr>
          <w:highlight w:val="yellow"/>
        </w:rPr>
        <w:t>ollowing a previous dose of JYNNEOS</w:t>
      </w:r>
      <w:r w:rsidR="0098578A" w:rsidRPr="000D3F98">
        <w:rPr>
          <w:highlight w:val="yellow"/>
        </w:rPr>
        <w:t>.</w:t>
      </w:r>
      <w:r w:rsidR="0098578A">
        <w:t xml:space="preserve"> </w:t>
      </w:r>
      <w:r w:rsidR="000D3F98">
        <w:t xml:space="preserve"> </w:t>
      </w:r>
    </w:p>
    <w:p w14:paraId="1042C29A" w14:textId="0D75EE51" w:rsidR="002C0D16" w:rsidRDefault="002C0D16" w:rsidP="002C0D16">
      <w:pPr>
        <w:spacing w:before="0" w:after="120" w:line="259" w:lineRule="auto"/>
        <w:rPr>
          <w:b/>
          <w:bCs/>
          <w:color w:val="C45911" w:themeColor="accent2" w:themeShade="BF"/>
        </w:rPr>
      </w:pPr>
      <w:r>
        <w:rPr>
          <w:b/>
          <w:bCs/>
          <w:color w:val="C45911" w:themeColor="accent2" w:themeShade="BF"/>
        </w:rPr>
        <w:t>Warnings and Precautions</w:t>
      </w:r>
    </w:p>
    <w:p w14:paraId="05D453BA" w14:textId="5306B587" w:rsidR="0000115F" w:rsidRDefault="00E32166" w:rsidP="0000115F">
      <w:pPr>
        <w:spacing w:before="0" w:after="120" w:line="259" w:lineRule="auto"/>
      </w:pPr>
      <w:r w:rsidRPr="00E32166">
        <w:rPr>
          <w:b/>
          <w:bCs/>
        </w:rPr>
        <w:t xml:space="preserve">Allergic reactions. </w:t>
      </w:r>
      <w:r>
        <w:t>Since s</w:t>
      </w:r>
      <w:r w:rsidR="00A7157B">
        <w:t>evere allergic reactions to JYNNEOS are possible</w:t>
      </w:r>
      <w:r>
        <w:t>, a</w:t>
      </w:r>
      <w:r w:rsidR="00A7157B">
        <w:t xml:space="preserve">ppropriate medical treatment </w:t>
      </w:r>
      <w:r>
        <w:t xml:space="preserve">(epinephrine, oxygen) </w:t>
      </w:r>
      <w:r w:rsidR="00A7157B">
        <w:t>must be available to manage possible anaphylactic reactions.</w:t>
      </w:r>
      <w:r>
        <w:t xml:space="preserve">  </w:t>
      </w:r>
      <w:r w:rsidR="0000115F">
        <w:t xml:space="preserve">The risk for a severe allergic reaction should be weighed against the risk for disease due to smallpox or monkeypox. </w:t>
      </w:r>
    </w:p>
    <w:p w14:paraId="0509895B" w14:textId="75593351" w:rsidR="00CE10DA" w:rsidRDefault="00CE10DA" w:rsidP="00CE10DA">
      <w:pPr>
        <w:spacing w:before="0" w:after="120" w:line="259" w:lineRule="auto"/>
        <w:rPr>
          <w:b/>
          <w:bCs/>
          <w:color w:val="C45911" w:themeColor="accent2" w:themeShade="BF"/>
        </w:rPr>
      </w:pPr>
      <w:r>
        <w:rPr>
          <w:b/>
          <w:bCs/>
          <w:color w:val="C45911" w:themeColor="accent2" w:themeShade="BF"/>
        </w:rPr>
        <w:t>Immunocompromised Persons</w:t>
      </w:r>
    </w:p>
    <w:p w14:paraId="23FD3AC8" w14:textId="5BD1C866" w:rsidR="00EC33EE" w:rsidRDefault="00E32166" w:rsidP="00E6083C">
      <w:pPr>
        <w:spacing w:before="0" w:after="120" w:line="259" w:lineRule="auto"/>
      </w:pPr>
      <w:r>
        <w:t>JYNNEOS is safe to administer to immunocompromised persons, however they m</w:t>
      </w:r>
      <w:r w:rsidR="00CE10DA">
        <w:t>ay have a diminished immune response</w:t>
      </w:r>
      <w:r>
        <w:t xml:space="preserve"> to the vaccine.</w:t>
      </w:r>
    </w:p>
    <w:p w14:paraId="68E3E315" w14:textId="3D4F407F" w:rsidR="00CE10DA" w:rsidRDefault="00CE10DA" w:rsidP="00CE10DA">
      <w:pPr>
        <w:spacing w:before="0" w:after="120" w:line="259" w:lineRule="auto"/>
        <w:rPr>
          <w:b/>
          <w:bCs/>
          <w:color w:val="C45911" w:themeColor="accent2" w:themeShade="BF"/>
        </w:rPr>
      </w:pPr>
      <w:r>
        <w:rPr>
          <w:b/>
          <w:bCs/>
          <w:color w:val="C45911" w:themeColor="accent2" w:themeShade="BF"/>
        </w:rPr>
        <w:t xml:space="preserve">Pregnancy </w:t>
      </w:r>
    </w:p>
    <w:p w14:paraId="52D43939" w14:textId="3A81B6D4" w:rsidR="00E32166" w:rsidRDefault="00E32166" w:rsidP="00CE10DA">
      <w:pPr>
        <w:spacing w:before="0" w:after="120" w:line="259" w:lineRule="auto"/>
      </w:pPr>
      <w:r>
        <w:t>Data are insufficient to determine vaccine-associated risks in pregnancy.  In animals who received JYNNEOS, there has been no evidence of harm to the developing fetus.</w:t>
      </w:r>
    </w:p>
    <w:p w14:paraId="6A7F0D44" w14:textId="643F8D9B" w:rsidR="006A3143" w:rsidRDefault="006A3143" w:rsidP="006A3143">
      <w:pPr>
        <w:spacing w:before="0" w:after="120" w:line="259" w:lineRule="auto"/>
        <w:rPr>
          <w:b/>
          <w:bCs/>
          <w:color w:val="C45911" w:themeColor="accent2" w:themeShade="BF"/>
        </w:rPr>
      </w:pPr>
      <w:r>
        <w:rPr>
          <w:b/>
          <w:bCs/>
          <w:color w:val="C45911" w:themeColor="accent2" w:themeShade="BF"/>
        </w:rPr>
        <w:t xml:space="preserve">Breastfeeding  </w:t>
      </w:r>
    </w:p>
    <w:p w14:paraId="272CE26A" w14:textId="7C61DF2F" w:rsidR="006A3143" w:rsidRDefault="006A3143" w:rsidP="006A3143">
      <w:pPr>
        <w:spacing w:before="0" w:after="120" w:line="259" w:lineRule="auto"/>
      </w:pPr>
      <w:r>
        <w:t xml:space="preserve">It is not known whether JYNNEOS is excreted in human milk or is safe in breastfed infants. However, per CDC it is unlikely to present a risk of transmission to breastfed infants and can be administered to women who are breastfeeding if vaccination is critical. </w:t>
      </w:r>
    </w:p>
    <w:p w14:paraId="735C08FC" w14:textId="0A552893" w:rsidR="00E32166" w:rsidRDefault="006A3143" w:rsidP="00E32166">
      <w:pPr>
        <w:spacing w:before="0" w:after="120" w:line="259" w:lineRule="auto"/>
        <w:rPr>
          <w:b/>
          <w:bCs/>
          <w:color w:val="C45911" w:themeColor="accent2" w:themeShade="BF"/>
        </w:rPr>
      </w:pPr>
      <w:r>
        <w:rPr>
          <w:b/>
          <w:bCs/>
          <w:color w:val="C45911" w:themeColor="accent2" w:themeShade="BF"/>
        </w:rPr>
        <w:t xml:space="preserve">Adverse Events </w:t>
      </w:r>
    </w:p>
    <w:p w14:paraId="51D73EA1" w14:textId="77777777" w:rsidR="006A3143" w:rsidRDefault="006A3143" w:rsidP="00E32166">
      <w:pPr>
        <w:spacing w:before="0" w:after="120" w:line="259" w:lineRule="auto"/>
      </w:pPr>
      <w:r>
        <w:t xml:space="preserve">Common adverse reactions include </w:t>
      </w:r>
    </w:p>
    <w:p w14:paraId="3AB2547D" w14:textId="1CBED002" w:rsidR="00807C0B" w:rsidRDefault="00807C0B" w:rsidP="00807C0B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</w:pPr>
      <w:r>
        <w:t>Pain, redness, swelling, itching, and/or induration at the injection site</w:t>
      </w:r>
    </w:p>
    <w:p w14:paraId="772D9339" w14:textId="3BCDC049" w:rsidR="00807C0B" w:rsidRDefault="00807C0B" w:rsidP="00807C0B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</w:pPr>
      <w:r>
        <w:t>Myalgia, fatigue, headache, nausea, and/or chills.</w:t>
      </w:r>
    </w:p>
    <w:p w14:paraId="5F5674ED" w14:textId="12D0A216" w:rsidR="00807C0B" w:rsidRDefault="00807C0B" w:rsidP="00807C0B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</w:pPr>
      <w:r>
        <w:t>Fever is uncommon.</w:t>
      </w:r>
    </w:p>
    <w:p w14:paraId="50CBC4B1" w14:textId="10404E4B" w:rsidR="00807C0B" w:rsidRDefault="00807C0B" w:rsidP="00807C0B">
      <w:pPr>
        <w:spacing w:before="0" w:after="120" w:line="259" w:lineRule="auto"/>
      </w:pPr>
      <w:r>
        <w:t xml:space="preserve">In clinical trials, serious adverse events were rare and occurred in JYNNEOS recipients at about the same frequency as those who received placebo. </w:t>
      </w:r>
    </w:p>
    <w:p w14:paraId="4B3E0C32" w14:textId="7C517EFF" w:rsidR="00807C0B" w:rsidRDefault="00807C0B" w:rsidP="00807C0B">
      <w:pPr>
        <w:spacing w:before="0" w:after="120" w:line="259" w:lineRule="auto"/>
      </w:pPr>
      <w:r>
        <w:t>Clinical studies did not detect an increased risk for myocarditis among JYNNEOS recipients.  However, per CDC</w:t>
      </w:r>
      <w:r w:rsidR="0074325E">
        <w:t>,</w:t>
      </w:r>
      <w:r>
        <w:t xml:space="preserve"> persons with underlying heart disease or 3 or more </w:t>
      </w:r>
      <w:r>
        <w:t>major cardiac risk factors should be counseled about the theoretical risk for myocarditis following JYNNEOS.</w:t>
      </w:r>
    </w:p>
    <w:p w14:paraId="7E315624" w14:textId="2F89D67C" w:rsidR="006A3143" w:rsidRDefault="006A3143" w:rsidP="006A3143">
      <w:pPr>
        <w:spacing w:before="0" w:after="120" w:line="259" w:lineRule="auto"/>
        <w:rPr>
          <w:b/>
          <w:bCs/>
          <w:color w:val="C45911" w:themeColor="accent2" w:themeShade="BF"/>
        </w:rPr>
      </w:pPr>
      <w:r>
        <w:rPr>
          <w:b/>
          <w:bCs/>
          <w:color w:val="C45911" w:themeColor="accent2" w:themeShade="BF"/>
        </w:rPr>
        <w:t xml:space="preserve">Timing </w:t>
      </w:r>
      <w:r w:rsidR="00020618">
        <w:rPr>
          <w:b/>
          <w:bCs/>
          <w:color w:val="C45911" w:themeColor="accent2" w:themeShade="BF"/>
        </w:rPr>
        <w:t>W</w:t>
      </w:r>
      <w:r>
        <w:rPr>
          <w:b/>
          <w:bCs/>
          <w:color w:val="C45911" w:themeColor="accent2" w:themeShade="BF"/>
        </w:rPr>
        <w:t xml:space="preserve">ith </w:t>
      </w:r>
      <w:r w:rsidR="00020618">
        <w:rPr>
          <w:b/>
          <w:bCs/>
          <w:color w:val="C45911" w:themeColor="accent2" w:themeShade="BF"/>
        </w:rPr>
        <w:t xml:space="preserve">COVID-19 Vaccine </w:t>
      </w:r>
    </w:p>
    <w:p w14:paraId="1A59D454" w14:textId="77777777" w:rsidR="0082734F" w:rsidRDefault="00020618" w:rsidP="006A3143">
      <w:pPr>
        <w:spacing w:before="0" w:after="120" w:line="259" w:lineRule="auto"/>
      </w:pPr>
      <w:r>
        <w:t xml:space="preserve">CDC recommends that adolescent or young adult males should consider waiting 4 weeks after JYNNEOS vaccination before receiving an mRNA COVID-19 vaccine, due to theoretical concerns regarding myocarditis. </w:t>
      </w:r>
    </w:p>
    <w:p w14:paraId="36A7DD72" w14:textId="77777777" w:rsidR="0082734F" w:rsidRDefault="0082734F" w:rsidP="006A3143">
      <w:pPr>
        <w:spacing w:before="0" w:after="120" w:line="259" w:lineRule="auto"/>
      </w:pPr>
      <w:r w:rsidRPr="0082734F">
        <w:rPr>
          <w:highlight w:val="yellow"/>
        </w:rPr>
        <w:t>However,</w:t>
      </w:r>
      <w:r>
        <w:t xml:space="preserve"> i</w:t>
      </w:r>
      <w:r w:rsidR="00020618">
        <w:t>f JYNNEOS is recommended for PEP in an outbreak setting, administration of JYNNEOS should not be delayed because of recent receipt of an mRNA COVID-19 vaccine.</w:t>
      </w:r>
      <w:r>
        <w:t xml:space="preserve"> </w:t>
      </w:r>
    </w:p>
    <w:p w14:paraId="4B23B760" w14:textId="513D44F2" w:rsidR="00020618" w:rsidRDefault="00020618" w:rsidP="006A3143">
      <w:pPr>
        <w:spacing w:before="0" w:after="120" w:line="259" w:lineRule="auto"/>
      </w:pPr>
      <w:r>
        <w:t xml:space="preserve">No other vaccine-vaccine interactions are </w:t>
      </w:r>
      <w:r w:rsidR="0082734F" w:rsidRPr="0082734F">
        <w:rPr>
          <w:highlight w:val="yellow"/>
        </w:rPr>
        <w:t>known</w:t>
      </w:r>
      <w:r w:rsidR="0082734F">
        <w:t xml:space="preserve"> to be </w:t>
      </w:r>
      <w:r>
        <w:t>of concern.</w:t>
      </w:r>
    </w:p>
    <w:p w14:paraId="6CCBCA8D" w14:textId="60B08C00" w:rsidR="00020618" w:rsidRDefault="00020618" w:rsidP="00020618">
      <w:pPr>
        <w:spacing w:before="0" w:after="120" w:line="259" w:lineRule="auto"/>
        <w:rPr>
          <w:b/>
          <w:bCs/>
          <w:color w:val="C45911" w:themeColor="accent2" w:themeShade="BF"/>
        </w:rPr>
      </w:pPr>
      <w:r>
        <w:rPr>
          <w:b/>
          <w:bCs/>
          <w:color w:val="C45911" w:themeColor="accent2" w:themeShade="BF"/>
        </w:rPr>
        <w:t xml:space="preserve">Development of Immunity  </w:t>
      </w:r>
    </w:p>
    <w:p w14:paraId="2933919C" w14:textId="368AE948" w:rsidR="00DD282F" w:rsidRDefault="00020618" w:rsidP="00020618">
      <w:pPr>
        <w:spacing w:before="0" w:after="120" w:line="259" w:lineRule="auto"/>
      </w:pPr>
      <w:r>
        <w:t xml:space="preserve">Peak antibody response is achieved 2 weeks after the second dose of the 2-dose </w:t>
      </w:r>
      <w:r w:rsidR="00DD282F">
        <w:t xml:space="preserve">JYNNEOS </w:t>
      </w:r>
      <w:r>
        <w:t>series.</w:t>
      </w:r>
      <w:r w:rsidR="00DD282F">
        <w:t xml:space="preserve">  Rates of seroconversion are high, therefore for immunocompetent persons effective vaccination can be assumed and routine antibody titer testing after JYNNEOS is not recommended.</w:t>
      </w:r>
    </w:p>
    <w:p w14:paraId="0A24422E" w14:textId="7447B945" w:rsidR="0082734F" w:rsidRDefault="0082734F" w:rsidP="00020618">
      <w:pPr>
        <w:spacing w:before="0" w:after="120" w:line="259" w:lineRule="auto"/>
      </w:pPr>
      <w:r w:rsidRPr="0082734F">
        <w:rPr>
          <w:highlight w:val="yellow"/>
        </w:rPr>
        <w:t>Durability of immune response to JYNNEOS after one dose is unknown.</w:t>
      </w:r>
    </w:p>
    <w:p w14:paraId="351C939B" w14:textId="3DA4C9F3" w:rsidR="00E14920" w:rsidRDefault="00E14920" w:rsidP="00E14920">
      <w:pPr>
        <w:spacing w:before="0" w:after="120" w:line="259" w:lineRule="auto"/>
        <w:rPr>
          <w:b/>
          <w:bCs/>
          <w:color w:val="C45911" w:themeColor="accent2" w:themeShade="BF"/>
        </w:rPr>
      </w:pPr>
      <w:r>
        <w:rPr>
          <w:b/>
          <w:bCs/>
          <w:color w:val="C45911" w:themeColor="accent2" w:themeShade="BF"/>
        </w:rPr>
        <w:t xml:space="preserve">Replication-Deficient Vaccine </w:t>
      </w:r>
    </w:p>
    <w:p w14:paraId="694B6C3D" w14:textId="0BAB4C1D" w:rsidR="00E14920" w:rsidRDefault="00E14920" w:rsidP="00E14920">
      <w:pPr>
        <w:spacing w:before="0" w:after="120" w:line="259" w:lineRule="auto"/>
      </w:pPr>
      <w:r>
        <w:t xml:space="preserve">The live, attenuated (weakened) vaccinia virus in JYNNEOS is replication-deficient and does not cause clinical infection in recipients. </w:t>
      </w:r>
    </w:p>
    <w:p w14:paraId="4593B1AD" w14:textId="2CBBD254" w:rsidR="00020618" w:rsidRDefault="00020618" w:rsidP="00E14920">
      <w:pPr>
        <w:spacing w:before="0" w:after="120" w:line="259" w:lineRule="auto"/>
      </w:pPr>
      <w:r>
        <w:t>JYNNEOS, as a replication-deficient vaccine, does not require the precautions associated with other live vaccines.</w:t>
      </w:r>
    </w:p>
    <w:p w14:paraId="68557791" w14:textId="6EB7BF79" w:rsidR="00E6083C" w:rsidRDefault="00E6083C" w:rsidP="00E6083C">
      <w:pPr>
        <w:spacing w:before="0" w:after="120" w:line="259" w:lineRule="auto"/>
        <w:rPr>
          <w:b/>
          <w:bCs/>
          <w:color w:val="C45911" w:themeColor="accent2" w:themeShade="BF"/>
        </w:rPr>
      </w:pPr>
      <w:r>
        <w:rPr>
          <w:b/>
          <w:bCs/>
          <w:color w:val="C45911" w:themeColor="accent2" w:themeShade="BF"/>
        </w:rPr>
        <w:t xml:space="preserve">Additional </w:t>
      </w:r>
      <w:r w:rsidR="00012493">
        <w:rPr>
          <w:b/>
          <w:bCs/>
          <w:color w:val="C45911" w:themeColor="accent2" w:themeShade="BF"/>
        </w:rPr>
        <w:t>Information</w:t>
      </w:r>
    </w:p>
    <w:p w14:paraId="31D8E4CC" w14:textId="3C80BD34" w:rsidR="00E6083C" w:rsidRDefault="00E6083C" w:rsidP="00E6083C">
      <w:pPr>
        <w:spacing w:before="0" w:after="120" w:line="259" w:lineRule="auto"/>
      </w:pPr>
      <w:r>
        <w:t xml:space="preserve">Provide </w:t>
      </w:r>
      <w:hyperlink r:id="rId11" w:history="1">
        <w:r w:rsidR="00012493" w:rsidRPr="00EC33EE">
          <w:rPr>
            <w:rStyle w:val="Hyperlink"/>
          </w:rPr>
          <w:t xml:space="preserve">current </w:t>
        </w:r>
        <w:r w:rsidRPr="00EC33EE">
          <w:rPr>
            <w:rStyle w:val="Hyperlink"/>
          </w:rPr>
          <w:t>VIS</w:t>
        </w:r>
      </w:hyperlink>
      <w:r>
        <w:t xml:space="preserve"> prior to vaccine administration </w:t>
      </w:r>
    </w:p>
    <w:p w14:paraId="713FE81A" w14:textId="3BB8106D" w:rsidR="00020618" w:rsidRDefault="00020618" w:rsidP="00E6083C">
      <w:pPr>
        <w:spacing w:before="0" w:after="120" w:line="259" w:lineRule="auto"/>
      </w:pPr>
      <w:r>
        <w:t xml:space="preserve">Report clinically significant adverse events to </w:t>
      </w:r>
      <w:hyperlink r:id="rId12" w:history="1">
        <w:r w:rsidRPr="00020618">
          <w:rPr>
            <w:rStyle w:val="Hyperlink"/>
          </w:rPr>
          <w:t>VAERS</w:t>
        </w:r>
      </w:hyperlink>
      <w:r>
        <w:t>.</w:t>
      </w:r>
    </w:p>
    <w:p w14:paraId="340DE763" w14:textId="34460AA8" w:rsidR="008441B6" w:rsidRDefault="00E6083C" w:rsidP="00BC7220">
      <w:pPr>
        <w:spacing w:before="0" w:after="120" w:line="259" w:lineRule="auto"/>
      </w:pPr>
      <w:r>
        <w:rPr>
          <w:b/>
          <w:bCs/>
          <w:color w:val="C45911" w:themeColor="accent2" w:themeShade="BF"/>
        </w:rPr>
        <w:t xml:space="preserve">For More </w:t>
      </w:r>
      <w:r w:rsidR="00BF60CF">
        <w:rPr>
          <w:b/>
          <w:bCs/>
          <w:color w:val="C45911" w:themeColor="accent2" w:themeShade="BF"/>
        </w:rPr>
        <w:t xml:space="preserve">Information </w:t>
      </w:r>
    </w:p>
    <w:p w14:paraId="707328C6" w14:textId="3C1C9652" w:rsidR="0005755D" w:rsidRDefault="007224A4" w:rsidP="0005755D">
      <w:pPr>
        <w:spacing w:before="0" w:after="120" w:line="259" w:lineRule="auto"/>
        <w:rPr>
          <w:b/>
          <w:bCs/>
          <w:color w:val="C45911" w:themeColor="accent2" w:themeShade="BF"/>
        </w:rPr>
      </w:pPr>
      <w:hyperlink r:id="rId13" w:history="1">
        <w:r w:rsidR="00DD282F">
          <w:rPr>
            <w:rStyle w:val="Hyperlink"/>
          </w:rPr>
          <w:t>Use of JYNNEOS (Smallpox and Monkeypox Vaccine, Live, Nonreplicating) for Preexposure Vaccination of Persons at Risk for Occupational Exposure to Orthopoxviruses: Recommendations of the Advisory Committee on Immunization Practices — United States, 2022 | MMWR (cdc.gov)</w:t>
        </w:r>
      </w:hyperlink>
    </w:p>
    <w:p w14:paraId="0F4C206E" w14:textId="47D8D54D" w:rsidR="00DD282F" w:rsidRDefault="007224A4" w:rsidP="0005755D">
      <w:pPr>
        <w:spacing w:before="0" w:after="120" w:line="259" w:lineRule="auto"/>
        <w:rPr>
          <w:rStyle w:val="Hyperlink"/>
        </w:rPr>
      </w:pPr>
      <w:hyperlink r:id="rId14" w:history="1">
        <w:r w:rsidR="00DD282F">
          <w:rPr>
            <w:rStyle w:val="Hyperlink"/>
          </w:rPr>
          <w:t>Information For Clinicians | Monkeypox | Poxvirus | CDC</w:t>
        </w:r>
      </w:hyperlink>
    </w:p>
    <w:p w14:paraId="2FA90D17" w14:textId="3F2273FB" w:rsidR="0082734F" w:rsidRDefault="007224A4" w:rsidP="0005755D">
      <w:pPr>
        <w:spacing w:before="0" w:after="120" w:line="259" w:lineRule="auto"/>
      </w:pPr>
      <w:hyperlink r:id="rId15" w:history="1">
        <w:r w:rsidR="0082734F" w:rsidRPr="00EA3FB7">
          <w:rPr>
            <w:rStyle w:val="Hyperlink"/>
            <w:highlight w:val="yellow"/>
          </w:rPr>
          <w:t>CDPH monkeypox vaccination resources</w:t>
        </w:r>
      </w:hyperlink>
      <w:r w:rsidR="0082734F">
        <w:t xml:space="preserve"> </w:t>
      </w:r>
    </w:p>
    <w:p w14:paraId="42ACB070" w14:textId="7E9B8778" w:rsidR="0005755D" w:rsidRDefault="0005755D" w:rsidP="0005755D">
      <w:pPr>
        <w:spacing w:before="0" w:after="120" w:line="259" w:lineRule="auto"/>
      </w:pPr>
      <w:r>
        <w:rPr>
          <w:b/>
          <w:bCs/>
          <w:color w:val="C45911" w:themeColor="accent2" w:themeShade="BF"/>
        </w:rPr>
        <w:lastRenderedPageBreak/>
        <w:t xml:space="preserve">Authorization </w:t>
      </w:r>
    </w:p>
    <w:p w14:paraId="4CC72C52" w14:textId="7AF88E5A" w:rsidR="0005755D" w:rsidRDefault="0005755D" w:rsidP="00BC7220">
      <w:pPr>
        <w:spacing w:before="0" w:after="120" w:line="259" w:lineRule="auto"/>
      </w:pPr>
    </w:p>
    <w:p w14:paraId="58E597AC" w14:textId="77777777" w:rsidR="0005755D" w:rsidRDefault="0005755D" w:rsidP="00BC7220">
      <w:pPr>
        <w:spacing w:before="0" w:after="120" w:line="259" w:lineRule="auto"/>
      </w:pPr>
    </w:p>
    <w:p w14:paraId="7E6880C8" w14:textId="0FFC30B7" w:rsidR="0005755D" w:rsidRDefault="0005755D" w:rsidP="00BC7220">
      <w:pPr>
        <w:spacing w:before="0" w:after="120" w:line="259" w:lineRule="auto"/>
      </w:pPr>
      <w:r>
        <w:t>___________________________________________</w:t>
      </w:r>
    </w:p>
    <w:p w14:paraId="7F4762DB" w14:textId="1E81C468" w:rsidR="0005755D" w:rsidRDefault="0005755D" w:rsidP="00BC7220">
      <w:pPr>
        <w:spacing w:before="0" w:after="120" w:line="259" w:lineRule="auto"/>
      </w:pPr>
      <w:r>
        <w:t>Signature</w:t>
      </w:r>
      <w:r>
        <w:tab/>
      </w:r>
      <w:r>
        <w:tab/>
      </w:r>
      <w:r>
        <w:tab/>
      </w:r>
      <w:r w:rsidR="00866EA2">
        <w:t>D</w:t>
      </w:r>
      <w:r>
        <w:t>ate</w:t>
      </w:r>
    </w:p>
    <w:p w14:paraId="373275AC" w14:textId="77777777" w:rsidR="00D0063B" w:rsidRDefault="00D0063B" w:rsidP="00DD282F">
      <w:pPr>
        <w:spacing w:before="0" w:after="120" w:line="259" w:lineRule="auto"/>
      </w:pPr>
    </w:p>
    <w:p w14:paraId="3D53AE00" w14:textId="7FDF4124" w:rsidR="00D0063B" w:rsidRDefault="00D0063B" w:rsidP="00DD282F">
      <w:pPr>
        <w:spacing w:before="0" w:after="120" w:line="259" w:lineRule="auto"/>
      </w:pPr>
      <w:r>
        <w:t>___________________________________________</w:t>
      </w:r>
    </w:p>
    <w:p w14:paraId="27E09B16" w14:textId="67262483" w:rsidR="00DD282F" w:rsidRDefault="00DD282F" w:rsidP="00DD282F">
      <w:pPr>
        <w:spacing w:before="0" w:after="120" w:line="259" w:lineRule="auto"/>
      </w:pPr>
      <w:r>
        <w:t xml:space="preserve">Name – Title </w:t>
      </w:r>
    </w:p>
    <w:p w14:paraId="735891DC" w14:textId="77777777" w:rsidR="00DD282F" w:rsidRDefault="00DD282F" w:rsidP="00BC7220">
      <w:pPr>
        <w:spacing w:before="0" w:after="120" w:line="259" w:lineRule="auto"/>
      </w:pPr>
    </w:p>
    <w:sectPr w:rsidR="00DD282F" w:rsidSect="004F44B1">
      <w:headerReference w:type="default" r:id="rId16"/>
      <w:footerReference w:type="default" r:id="rId17"/>
      <w:type w:val="continuous"/>
      <w:pgSz w:w="12240" w:h="15840"/>
      <w:pgMar w:top="1440" w:right="1008" w:bottom="144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04B6D" w14:textId="77777777" w:rsidR="008441B6" w:rsidRDefault="008441B6" w:rsidP="008441B6">
      <w:pPr>
        <w:spacing w:before="0" w:after="0" w:line="240" w:lineRule="auto"/>
      </w:pPr>
      <w:r>
        <w:separator/>
      </w:r>
    </w:p>
  </w:endnote>
  <w:endnote w:type="continuationSeparator" w:id="0">
    <w:p w14:paraId="567374E0" w14:textId="77777777" w:rsidR="008441B6" w:rsidRDefault="008441B6" w:rsidP="008441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619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35C53" w14:textId="1ACDF3F3" w:rsidR="008F1EA2" w:rsidRDefault="008F1E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5CB8B" w14:textId="77777777" w:rsidR="008441B6" w:rsidRDefault="008441B6" w:rsidP="008441B6">
      <w:pPr>
        <w:spacing w:before="0" w:after="0" w:line="240" w:lineRule="auto"/>
      </w:pPr>
      <w:r>
        <w:separator/>
      </w:r>
    </w:p>
  </w:footnote>
  <w:footnote w:type="continuationSeparator" w:id="0">
    <w:p w14:paraId="578247BC" w14:textId="77777777" w:rsidR="008441B6" w:rsidRDefault="008441B6" w:rsidP="008441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827E" w14:textId="53976ACF" w:rsidR="00012493" w:rsidRDefault="00BE4498">
    <w:pPr>
      <w:pStyle w:val="Header"/>
    </w:pPr>
    <w:r>
      <w:t xml:space="preserve">SAN FRANCISCO DEPARTMENT OF PUBLIC HEALTH </w:t>
    </w:r>
  </w:p>
  <w:p w14:paraId="3446683F" w14:textId="6E5B83B6" w:rsidR="008441B6" w:rsidRDefault="00012493">
    <w:pPr>
      <w:pStyle w:val="Header"/>
      <w:pBdr>
        <w:bottom w:val="single" w:sz="12" w:space="1" w:color="auto"/>
      </w:pBdr>
    </w:pPr>
    <w:r>
      <w:t xml:space="preserve">PROTOCOL / </w:t>
    </w:r>
    <w:r w:rsidR="008441B6">
      <w:t xml:space="preserve">STANDING ORDERS – </w:t>
    </w:r>
    <w:r w:rsidR="00BE4498">
      <w:t xml:space="preserve">MONKEYPOX </w:t>
    </w:r>
    <w:r w:rsidR="008441B6">
      <w:t>VACCINATION</w:t>
    </w:r>
    <w:r w:rsidR="00BE4498">
      <w:t xml:space="preserve"> - JYNNEOS</w:t>
    </w:r>
    <w:r w:rsidR="00BC7220">
      <w:tab/>
    </w:r>
    <w:r w:rsidR="0082734F">
      <w:t xml:space="preserve">Version 2.  </w:t>
    </w:r>
    <w:r w:rsidR="00BE4498">
      <w:t>Ju</w:t>
    </w:r>
    <w:r w:rsidR="0082734F">
      <w:t>ly 28</w:t>
    </w:r>
    <w:r>
      <w:t>, 2022</w:t>
    </w:r>
  </w:p>
  <w:p w14:paraId="3224D972" w14:textId="77777777" w:rsidR="00012493" w:rsidRDefault="00012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118"/>
    <w:multiLevelType w:val="hybridMultilevel"/>
    <w:tmpl w:val="07E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C0CB8"/>
    <w:multiLevelType w:val="hybridMultilevel"/>
    <w:tmpl w:val="5A84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42678"/>
    <w:multiLevelType w:val="multilevel"/>
    <w:tmpl w:val="FA04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A68C2"/>
    <w:multiLevelType w:val="multilevel"/>
    <w:tmpl w:val="51E0740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8AC571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9615D47"/>
    <w:multiLevelType w:val="hybridMultilevel"/>
    <w:tmpl w:val="7372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A1AA0"/>
    <w:multiLevelType w:val="hybridMultilevel"/>
    <w:tmpl w:val="49BC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62B6D"/>
    <w:multiLevelType w:val="multilevel"/>
    <w:tmpl w:val="6B3074F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7F86FC4"/>
    <w:multiLevelType w:val="hybridMultilevel"/>
    <w:tmpl w:val="FA12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8317F"/>
    <w:multiLevelType w:val="hybridMultilevel"/>
    <w:tmpl w:val="167AB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2C419A"/>
    <w:multiLevelType w:val="hybridMultilevel"/>
    <w:tmpl w:val="CEE0E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B6"/>
    <w:rsid w:val="0000115F"/>
    <w:rsid w:val="00012493"/>
    <w:rsid w:val="00020618"/>
    <w:rsid w:val="0005755D"/>
    <w:rsid w:val="000D3F98"/>
    <w:rsid w:val="00114670"/>
    <w:rsid w:val="00132482"/>
    <w:rsid w:val="00132D4C"/>
    <w:rsid w:val="0016066C"/>
    <w:rsid w:val="00172A73"/>
    <w:rsid w:val="001A351C"/>
    <w:rsid w:val="001D5848"/>
    <w:rsid w:val="00207AEA"/>
    <w:rsid w:val="00226288"/>
    <w:rsid w:val="002C098F"/>
    <w:rsid w:val="002C0D16"/>
    <w:rsid w:val="002F168B"/>
    <w:rsid w:val="003832F0"/>
    <w:rsid w:val="003B07CA"/>
    <w:rsid w:val="003B1FF2"/>
    <w:rsid w:val="004308C0"/>
    <w:rsid w:val="00487F70"/>
    <w:rsid w:val="004A4C7D"/>
    <w:rsid w:val="004D64DA"/>
    <w:rsid w:val="004E1E21"/>
    <w:rsid w:val="004F44B1"/>
    <w:rsid w:val="00516754"/>
    <w:rsid w:val="005176C7"/>
    <w:rsid w:val="00520768"/>
    <w:rsid w:val="005630DA"/>
    <w:rsid w:val="00596BA5"/>
    <w:rsid w:val="00597976"/>
    <w:rsid w:val="00651ECB"/>
    <w:rsid w:val="00657B68"/>
    <w:rsid w:val="00660CF3"/>
    <w:rsid w:val="00676130"/>
    <w:rsid w:val="00692024"/>
    <w:rsid w:val="00697738"/>
    <w:rsid w:val="006A219D"/>
    <w:rsid w:val="006A3143"/>
    <w:rsid w:val="006C0F53"/>
    <w:rsid w:val="006C7F7B"/>
    <w:rsid w:val="006E4782"/>
    <w:rsid w:val="006F3E3D"/>
    <w:rsid w:val="00702F4A"/>
    <w:rsid w:val="00703E06"/>
    <w:rsid w:val="007224A4"/>
    <w:rsid w:val="00727759"/>
    <w:rsid w:val="0074325E"/>
    <w:rsid w:val="00751310"/>
    <w:rsid w:val="00766840"/>
    <w:rsid w:val="00807C0B"/>
    <w:rsid w:val="0082734F"/>
    <w:rsid w:val="008441B6"/>
    <w:rsid w:val="00866EA2"/>
    <w:rsid w:val="008E222B"/>
    <w:rsid w:val="008F1EA2"/>
    <w:rsid w:val="00913B1B"/>
    <w:rsid w:val="0096739F"/>
    <w:rsid w:val="009702E3"/>
    <w:rsid w:val="0098578A"/>
    <w:rsid w:val="00A1273E"/>
    <w:rsid w:val="00A16248"/>
    <w:rsid w:val="00A7157B"/>
    <w:rsid w:val="00AA5696"/>
    <w:rsid w:val="00AB2182"/>
    <w:rsid w:val="00AB5344"/>
    <w:rsid w:val="00AC02E6"/>
    <w:rsid w:val="00AF5213"/>
    <w:rsid w:val="00B00261"/>
    <w:rsid w:val="00B2217C"/>
    <w:rsid w:val="00B60A26"/>
    <w:rsid w:val="00B67B7B"/>
    <w:rsid w:val="00B92499"/>
    <w:rsid w:val="00BB713F"/>
    <w:rsid w:val="00BC721C"/>
    <w:rsid w:val="00BC7220"/>
    <w:rsid w:val="00BD4D4F"/>
    <w:rsid w:val="00BE4498"/>
    <w:rsid w:val="00BF60CF"/>
    <w:rsid w:val="00C04A35"/>
    <w:rsid w:val="00C32799"/>
    <w:rsid w:val="00C815C0"/>
    <w:rsid w:val="00CB2168"/>
    <w:rsid w:val="00CC6D28"/>
    <w:rsid w:val="00CE10DA"/>
    <w:rsid w:val="00CF22E4"/>
    <w:rsid w:val="00D0063B"/>
    <w:rsid w:val="00D66A20"/>
    <w:rsid w:val="00D72202"/>
    <w:rsid w:val="00DA367B"/>
    <w:rsid w:val="00DB59D4"/>
    <w:rsid w:val="00DD1D33"/>
    <w:rsid w:val="00DD282F"/>
    <w:rsid w:val="00DD795E"/>
    <w:rsid w:val="00DE0863"/>
    <w:rsid w:val="00E14920"/>
    <w:rsid w:val="00E32166"/>
    <w:rsid w:val="00E3635A"/>
    <w:rsid w:val="00E6083C"/>
    <w:rsid w:val="00E63288"/>
    <w:rsid w:val="00E67E49"/>
    <w:rsid w:val="00EA3FB7"/>
    <w:rsid w:val="00EC33EE"/>
    <w:rsid w:val="00ED4763"/>
    <w:rsid w:val="00F10B84"/>
    <w:rsid w:val="00F23ED1"/>
    <w:rsid w:val="00F42D69"/>
    <w:rsid w:val="00F549E2"/>
    <w:rsid w:val="00F54C69"/>
    <w:rsid w:val="00F85C87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37C741"/>
  <w15:chartTrackingRefBased/>
  <w15:docId w15:val="{7C1BC808-2795-41ED-8214-32E59C5F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1B6"/>
  </w:style>
  <w:style w:type="paragraph" w:styleId="Heading1">
    <w:name w:val="heading 1"/>
    <w:basedOn w:val="Normal"/>
    <w:next w:val="Normal"/>
    <w:link w:val="Heading1Char"/>
    <w:uiPriority w:val="9"/>
    <w:qFormat/>
    <w:rsid w:val="008441B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41B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1B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1B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1B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1B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1B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1B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1B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1B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1B6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1B6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1B6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1B6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1B6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1B6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1B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1B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41B6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441B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41B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1B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441B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441B6"/>
    <w:rPr>
      <w:b/>
      <w:bCs/>
    </w:rPr>
  </w:style>
  <w:style w:type="character" w:styleId="Emphasis">
    <w:name w:val="Emphasis"/>
    <w:uiPriority w:val="20"/>
    <w:qFormat/>
    <w:rsid w:val="008441B6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84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441B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441B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1B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1B6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8441B6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441B6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441B6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441B6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441B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1B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441B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1B6"/>
  </w:style>
  <w:style w:type="paragraph" w:styleId="Footer">
    <w:name w:val="footer"/>
    <w:basedOn w:val="Normal"/>
    <w:link w:val="FooterChar"/>
    <w:uiPriority w:val="99"/>
    <w:unhideWhenUsed/>
    <w:rsid w:val="008441B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1B6"/>
  </w:style>
  <w:style w:type="paragraph" w:styleId="NormalWeb">
    <w:name w:val="Normal (Web)"/>
    <w:basedOn w:val="Normal"/>
    <w:uiPriority w:val="99"/>
    <w:unhideWhenUsed/>
    <w:rsid w:val="00C3279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4D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D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4D4F"/>
    <w:pPr>
      <w:ind w:left="720"/>
      <w:contextualSpacing/>
    </w:pPr>
  </w:style>
  <w:style w:type="paragraph" w:customStyle="1" w:styleId="first">
    <w:name w:val="first"/>
    <w:basedOn w:val="Normal"/>
    <w:rsid w:val="00866EA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C721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C098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basedOn w:val="Normal"/>
    <w:rsid w:val="0096739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poxvirus/monkeypox/clinicians/smallpox-vaccine.html" TargetMode="External"/><Relationship Id="rId13" Type="http://schemas.openxmlformats.org/officeDocument/2006/relationships/hyperlink" Target="https://www.cdc.gov/mmwr/volumes/71/wr/mm7122e1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aers.hhs.gov/index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vaccines/hcp/vis/vis-statements/smallpox-monkeypo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ziz.org/resources/monkeypox/" TargetMode="External"/><Relationship Id="rId10" Type="http://schemas.openxmlformats.org/officeDocument/2006/relationships/hyperlink" Target="https://aspr.hhs.gov/SNS/Documents/MVA-BN-Information-Ltr-Effective-14June202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dc.gov/mmwr/volumes/71/wr/mm7122e1.htm" TargetMode="External"/><Relationship Id="rId14" Type="http://schemas.openxmlformats.org/officeDocument/2006/relationships/hyperlink" Target="https://www.cdc.gov/poxvirus/monkeypox/clinician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14322-171D-493A-9D70-DA22BE36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Stier, David (DPH)</dc:creator>
  <cp:keywords/>
  <dc:description/>
  <cp:lastModifiedBy>Stier, David (DPH)</cp:lastModifiedBy>
  <cp:revision>7</cp:revision>
  <dcterms:created xsi:type="dcterms:W3CDTF">2022-07-28T18:40:00Z</dcterms:created>
  <dcterms:modified xsi:type="dcterms:W3CDTF">2022-07-29T19:20:00Z</dcterms:modified>
</cp:coreProperties>
</file>